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F9" w:rsidRPr="00C341F9" w:rsidRDefault="00C341F9" w:rsidP="00E02D62">
      <w:pPr>
        <w:pStyle w:val="ConsPlusTitle"/>
        <w:widowControl/>
        <w:jc w:val="center"/>
        <w:rPr>
          <w:rFonts w:ascii="Times New Roman" w:hAnsi="Times New Roman" w:cs="Times New Roman"/>
          <w:lang w:val="ru-RU"/>
        </w:rPr>
      </w:pPr>
    </w:p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1F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8C5F0F4" wp14:editId="7CB97C6E">
            <wp:extent cx="15430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НАУМОВСКОГО СЕЛЬСОВЕТА</w:t>
      </w:r>
    </w:p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КОНЫШЕВСКОГО РАЙОНА КУРСКОЙ ОБЛАСТИ</w:t>
      </w:r>
    </w:p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Ind w:w="132" w:type="dxa"/>
        <w:tblLook w:val="01E0" w:firstRow="1" w:lastRow="1" w:firstColumn="1" w:lastColumn="1" w:noHBand="0" w:noVBand="0"/>
      </w:tblPr>
      <w:tblGrid>
        <w:gridCol w:w="9438"/>
      </w:tblGrid>
      <w:tr w:rsidR="00C341F9" w:rsidRPr="00DC4B8D" w:rsidTr="00C341F9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341F9" w:rsidRPr="00C341F9" w:rsidRDefault="00C341F9" w:rsidP="00C34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41F9" w:rsidRDefault="00C341F9" w:rsidP="00C3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ПОСТАНОВЛЕНИЕ</w:t>
      </w:r>
    </w:p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41F9" w:rsidRPr="00C341F9" w:rsidRDefault="00C341F9" w:rsidP="00C341F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081C60">
        <w:rPr>
          <w:rFonts w:ascii="Times New Roman" w:hAnsi="Times New Roman" w:cs="Times New Roman"/>
          <w:b/>
          <w:sz w:val="28"/>
          <w:szCs w:val="28"/>
          <w:lang w:val="ru-RU"/>
        </w:rPr>
        <w:t>01</w:t>
      </w: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81C60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.2013 г.  №</w:t>
      </w:r>
      <w:r w:rsidR="00081C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42</w:t>
      </w:r>
      <w:r w:rsidR="00081C60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 xml:space="preserve"> «а»</w:t>
      </w: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-па                                   </w:t>
      </w:r>
      <w:r w:rsidR="00081C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</w:t>
      </w:r>
      <w:proofErr w:type="spellStart"/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Start"/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.Н</w:t>
      </w:r>
      <w:proofErr w:type="gramEnd"/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аумовка</w:t>
      </w:r>
      <w:proofErr w:type="spellEnd"/>
    </w:p>
    <w:p w:rsidR="00C341F9" w:rsidRDefault="00C341F9" w:rsidP="00C341F9">
      <w:pPr>
        <w:pStyle w:val="ConsPlusTitle"/>
        <w:widowControl/>
        <w:rPr>
          <w:rFonts w:ascii="Times New Roman" w:hAnsi="Times New Roman" w:cs="Times New Roman"/>
          <w:lang w:val="ru-RU"/>
        </w:rPr>
      </w:pPr>
    </w:p>
    <w:p w:rsidR="00C341F9" w:rsidRDefault="00E02D62" w:rsidP="00C341F9">
      <w:pPr>
        <w:pStyle w:val="ConsPlusTitle"/>
        <w:widowControl/>
        <w:rPr>
          <w:rFonts w:ascii="Times New Roman" w:hAnsi="Times New Roman" w:cs="Times New Roman"/>
          <w:lang w:val="ru-RU"/>
        </w:rPr>
      </w:pPr>
      <w:r w:rsidRPr="00C341F9">
        <w:rPr>
          <w:rFonts w:ascii="Times New Roman" w:hAnsi="Times New Roman" w:cs="Times New Roman"/>
          <w:lang w:val="ru-RU"/>
        </w:rPr>
        <w:t xml:space="preserve">Об утверждении Положения о </w:t>
      </w:r>
    </w:p>
    <w:p w:rsidR="00C341F9" w:rsidRDefault="00E02D62" w:rsidP="00C341F9">
      <w:pPr>
        <w:pStyle w:val="ConsPlusTitle"/>
        <w:widowControl/>
        <w:rPr>
          <w:rFonts w:ascii="Times New Roman" w:hAnsi="Times New Roman" w:cs="Times New Roman"/>
          <w:lang w:val="ru-RU"/>
        </w:rPr>
      </w:pPr>
      <w:r w:rsidRPr="00C341F9">
        <w:rPr>
          <w:rFonts w:ascii="Times New Roman" w:hAnsi="Times New Roman" w:cs="Times New Roman"/>
          <w:lang w:val="ru-RU"/>
        </w:rPr>
        <w:t>разработке,</w:t>
      </w:r>
      <w:r w:rsidR="00C341F9">
        <w:rPr>
          <w:rFonts w:ascii="Times New Roman" w:hAnsi="Times New Roman" w:cs="Times New Roman"/>
          <w:lang w:val="ru-RU"/>
        </w:rPr>
        <w:t xml:space="preserve">  </w:t>
      </w:r>
      <w:r w:rsidRPr="00C341F9">
        <w:rPr>
          <w:rFonts w:ascii="Times New Roman" w:hAnsi="Times New Roman" w:cs="Times New Roman"/>
          <w:lang w:val="ru-RU"/>
        </w:rPr>
        <w:t xml:space="preserve">утверждении  и </w:t>
      </w:r>
    </w:p>
    <w:p w:rsidR="00E02D62" w:rsidRDefault="00E02D62" w:rsidP="00C341F9">
      <w:pPr>
        <w:pStyle w:val="ConsPlusTitle"/>
        <w:widowControl/>
        <w:rPr>
          <w:rFonts w:ascii="Times New Roman" w:hAnsi="Times New Roman" w:cs="Times New Roman"/>
          <w:lang w:val="ru-RU"/>
        </w:rPr>
      </w:pPr>
      <w:r w:rsidRPr="00C341F9">
        <w:rPr>
          <w:rFonts w:ascii="Times New Roman" w:hAnsi="Times New Roman" w:cs="Times New Roman"/>
          <w:lang w:val="ru-RU"/>
        </w:rPr>
        <w:t>реализации муниципальных программ</w:t>
      </w:r>
    </w:p>
    <w:p w:rsidR="00DC4B8D" w:rsidRDefault="00DC4B8D" w:rsidP="00C341F9">
      <w:pPr>
        <w:pStyle w:val="ConsPlusTitle"/>
        <w:widowControl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образования</w:t>
      </w:r>
    </w:p>
    <w:p w:rsidR="00DC4B8D" w:rsidRDefault="00DC4B8D" w:rsidP="00C341F9">
      <w:pPr>
        <w:pStyle w:val="ConsPlusTitle"/>
        <w:widowControl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«Наумовский сельсовет»</w:t>
      </w:r>
    </w:p>
    <w:p w:rsidR="00DC4B8D" w:rsidRDefault="00DC4B8D" w:rsidP="00C341F9">
      <w:pPr>
        <w:pStyle w:val="ConsPlusTitle"/>
        <w:widowControl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Конышевского района</w:t>
      </w:r>
    </w:p>
    <w:p w:rsidR="00DC4B8D" w:rsidRPr="00C341F9" w:rsidRDefault="00DC4B8D" w:rsidP="00C341F9">
      <w:pPr>
        <w:pStyle w:val="ConsPlusTitle"/>
        <w:widowControl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Курской области.</w:t>
      </w:r>
    </w:p>
    <w:p w:rsidR="00E02D62" w:rsidRPr="00C341F9" w:rsidRDefault="00E02D62" w:rsidP="00E02D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эффективной организации процесса разработки и реализации муниципальных  целевых программ Администрация </w:t>
      </w:r>
      <w:r w:rsidR="00C341F9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C341F9">
        <w:rPr>
          <w:rFonts w:ascii="Times New Roman" w:hAnsi="Times New Roman" w:cs="Times New Roman"/>
          <w:sz w:val="28"/>
          <w:szCs w:val="28"/>
          <w:lang w:val="ru-RU"/>
        </w:rPr>
        <w:t xml:space="preserve"> Конышевского района Курской области  ПОСТАНОВЛЯЕТ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C4B8D" w:rsidRDefault="00E02D62" w:rsidP="00E02D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Положение о разработке, утверждении и реализации муниципальных программ </w:t>
      </w:r>
      <w:r w:rsidR="00DC4B8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«Наумовский сельсовет» Конышевского района Курской области. </w:t>
      </w:r>
    </w:p>
    <w:p w:rsidR="00E02D62" w:rsidRPr="00C341F9" w:rsidRDefault="00DC4B8D" w:rsidP="00E02D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E02D62"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№ 1).  </w:t>
      </w:r>
    </w:p>
    <w:p w:rsidR="00E02D62" w:rsidRPr="00C341F9" w:rsidRDefault="00E02D62" w:rsidP="00E02D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2.Настоящее постановление вступает в силу со дня его обнародования. </w:t>
      </w:r>
    </w:p>
    <w:p w:rsidR="00E02D62" w:rsidRDefault="00E02D62" w:rsidP="00E02D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C341F9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C341F9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сельсовета                                                 </w:t>
      </w:r>
      <w:proofErr w:type="spellStart"/>
      <w:r w:rsidR="00C341F9">
        <w:rPr>
          <w:rFonts w:ascii="Times New Roman" w:hAnsi="Times New Roman" w:cs="Times New Roman"/>
          <w:sz w:val="28"/>
          <w:szCs w:val="28"/>
          <w:lang w:val="ru-RU"/>
        </w:rPr>
        <w:t>В.А.Новикова</w:t>
      </w:r>
      <w:proofErr w:type="spellEnd"/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DC4B8D">
      <w:pPr>
        <w:tabs>
          <w:tab w:val="left" w:pos="8505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DE2EBA" w:rsidRDefault="00DE2EBA" w:rsidP="00DE2E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="00E02D62" w:rsidRPr="00C341F9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02D62"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 </w:t>
      </w:r>
    </w:p>
    <w:p w:rsidR="00E02D62" w:rsidRPr="00DE2EBA" w:rsidRDefault="00DE2EBA" w:rsidP="00DE2EBA">
      <w:pPr>
        <w:autoSpaceDE w:val="0"/>
        <w:spacing w:after="0" w:line="240" w:lineRule="auto"/>
        <w:jc w:val="center"/>
        <w:rPr>
          <w:rFonts w:ascii="Cambria Math" w:hAnsi="Cambria Math" w:cs="Times New Roman"/>
          <w:sz w:val="28"/>
          <w:szCs w:val="28"/>
          <w:lang w:val="ru-RU"/>
          <w:oMath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                                                                          Наумовского сельсовета </m:t>
          </m:r>
        </m:oMath>
      </m:oMathPara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081C60">
        <w:rPr>
          <w:rFonts w:ascii="Times New Roman" w:hAnsi="Times New Roman" w:cs="Times New Roman"/>
          <w:sz w:val="28"/>
          <w:szCs w:val="28"/>
          <w:lang w:val="ru-RU"/>
        </w:rPr>
        <w:t>01.11.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2013 г.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="00081C60"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C6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«а» </w:t>
      </w: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 w:rsidR="00DE2EB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2D62" w:rsidRPr="00C341F9" w:rsidRDefault="00E02D62" w:rsidP="00E02D62">
      <w:pPr>
        <w:pStyle w:val="ConsPlusTitle"/>
        <w:widowControl/>
        <w:jc w:val="center"/>
        <w:rPr>
          <w:rFonts w:ascii="Times New Roman" w:hAnsi="Times New Roman" w:cs="Times New Roman"/>
          <w:lang w:val="ru-RU"/>
        </w:rPr>
      </w:pPr>
      <w:r w:rsidRPr="00C341F9">
        <w:rPr>
          <w:rFonts w:ascii="Times New Roman" w:hAnsi="Times New Roman" w:cs="Times New Roman"/>
          <w:lang w:val="ru-RU"/>
        </w:rPr>
        <w:t>ПОЛОЖЕНИЕ</w:t>
      </w:r>
    </w:p>
    <w:p w:rsidR="00E02D62" w:rsidRPr="00C341F9" w:rsidRDefault="00E02D62" w:rsidP="00E02D62">
      <w:pPr>
        <w:pStyle w:val="ConsPlusTitle"/>
        <w:widowControl/>
        <w:jc w:val="center"/>
        <w:rPr>
          <w:rFonts w:ascii="Times New Roman" w:hAnsi="Times New Roman" w:cs="Times New Roman"/>
          <w:lang w:val="ru-RU"/>
        </w:rPr>
      </w:pPr>
      <w:r w:rsidRPr="00C341F9">
        <w:rPr>
          <w:rFonts w:ascii="Times New Roman" w:hAnsi="Times New Roman" w:cs="Times New Roman"/>
          <w:lang w:val="ru-RU"/>
        </w:rPr>
        <w:t>О РАЗРАБОТКЕ, УТВЕРЖДЕНИИ И РЕАЛИЗАЦИИ МУНИЦИПАЛЬНЫХ ЦЕЛЕВЫХ ПРОГРАММ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sz w:val="28"/>
          <w:szCs w:val="28"/>
        </w:rPr>
        <w:t>I</w:t>
      </w: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. Общие положения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1. Настоящее Положение определяет порядок разработки, утверждения и реализации муниципальных целевых программ, направленных на осуществление бюджетной политики в установленных сферах деятельности, обеспечение достижения целей и задач социально-экономического развития, повышение эффективности расходов бюджета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Конышевского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2. В настоящем Положении используются понятия и термины, применяемые в следующих значениях: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муниципальная целевая программа - разрабатываемый субъектом бюджетного планирования комплекс взаимоувязанных мероприятий, направленных на решение конкретной тактической задачи, стоящей перед субъектом бюджетного планирования, описываемой измеряемыми целевыми индикаторами;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субъекты бюджетного планирования - главные распорядители бюджетных сре</w:t>
      </w: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дств в с</w:t>
      </w:r>
      <w:proofErr w:type="gramEnd"/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оответствии с ведомственной структурой расходов бюджета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онышевского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3. Реализацию муниципальной целевой программы осуществляет только один субъект бюджетного планирования, разработавший программу.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4. Муниципальная целевая программа содержит: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а) паспорт программы по форме согласно приложению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1;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б) характеристику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на муниципальном уровне;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в) основные цели и задачи программы;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г) описание ожидаемых результатов реализации программы и прогнозируемые значения целевых индикаторов и показателей муниципальной целевой программы - измеряемые количественные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показатели решения поставленных задач и хода реализации программы по годам, которые формируются согласно приложению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2 к настоящему Положению;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д)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 согласно приложению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3 к настоящему Положению;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е) срок реализации программы;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ж) описание социальных, экономических и экологических последствий реализации программы, общую оценку ее вклада в достижение соответствующей стратегической цели;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з) методику оценки эффективности реализации программы (с учетом ее особенностей), разработанную на основе  методических рекомендаций согласно приложению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4 к настоящему Положению;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и) обоснование потребностей в необходимых ресурсах;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к) описание системы управления реализацией программы;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л) </w:t>
      </w: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ходом реализации программы.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5. Мероприятия муниципальных целевых программ не могут дублировать мероприятия областных целевых программ.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Расходы областных целевых программ не могут быть включены в проекты муниципальных целевых программ.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6. Муниципальная целевая программа не подлежит разделению на подпрограммы.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7. Предложения по объемам осуществляемых за счет средств бюджета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онышевского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расходов на реализацию муниципальной целевой программы в целом и каждого из мероприятий подготавливаются в соответствии с классификацией расходов бюджета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онышевского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с расчетами и обоснованиями на весь период реализации программы.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Программные мероприятия должны быть увязаны по срокам и ресурсам и обеспечивать решение задач муниципальной целевой программы.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8. Методическое руководство и координацию работ по разработке и реализации муниципальных целевых программ в установленных сферах деятельности осуществляет отдел по бухгалтерскому учету бюджету и налогам Администрации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онышевского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области.</w:t>
      </w:r>
    </w:p>
    <w:p w:rsidR="00E02D62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2EBA" w:rsidRDefault="00DE2EBA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2EBA" w:rsidRDefault="00DE2EBA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2EBA" w:rsidRDefault="00DE2EBA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2EBA" w:rsidRPr="00C341F9" w:rsidRDefault="00DE2EBA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C341F9">
        <w:rPr>
          <w:rFonts w:ascii="Times New Roman" w:hAnsi="Times New Roman" w:cs="Times New Roman"/>
          <w:b/>
          <w:bCs/>
          <w:sz w:val="28"/>
          <w:szCs w:val="28"/>
          <w:lang w:val="ru-RU"/>
        </w:rPr>
        <w:t>. Формирование и утверждение муниципальной целевой программы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9. Решение о разработке муниципальной целевой программы принимается руководителем субъекта бюджетного планирования.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10. Субъект бюджетного планирования: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а) разрабатывает проекты муниципальных целевых программ;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б) обеспечивает реализацию муниципальных целевых программ и их финансирование;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в) формирует и представляет управлению по бюджету и налогам Администрации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 Наумовского Конышевского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отчетность о реализации муниципальных целевых программ.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11. Разработанный проект муниципальной целевой программы с проектом нормативного правового акта Администрации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Ко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нышевского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об утверждении муниципальной целевой программы направляется субъектом бюджетного планирования одновременно на согласование должностным лицам Администрации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онышевского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Материалы, представляемые вместе с проектом муниципальной целевой программы, должны содержать обоснование потребности, в случае необходимости, в дополнительных расходах на ее реализацию.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12. В случае несоответствия проекта муниципальной целевой программы требованиям, предусмотренным настоящим Положением, проект муниципальной целевой программы возвращается субъекту бюджетного планирования на доработку.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13. Согласованный проект муниципальной целевой программы с проектом нормативного правового акта Администрации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Курского района Курской области, с пояснительной запиской субъект бюджетного планирования представляет Главе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сельсоветам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для рассмотрения и принятия решения об утверждении или отклонении муниципальной целевой программы.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14. Муниципальные целевые программы утверждаются на срок до 3 лет постановлением Администрации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>онышевского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15. Уточнение параметров муниципальных целевых программ, в том числе целевых индикаторов, осуществляется в порядке, установленном для утверждения этих программ.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16. Субъекты бюджетного планирования вправе обратиться в Администрацию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>Конышевского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с предложениями о прекращении реализации муниципальных целевых программ.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17. Муниципальные целевые 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 Собранию депутатов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>онышевского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о бюджете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>онышевского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на очередной финансовый год  Собранию депутатов 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>онышевского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</w:rPr>
        <w:t>III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. Реализация и контроль за ходом выполнения</w:t>
      </w:r>
    </w:p>
    <w:p w:rsidR="00E02D62" w:rsidRPr="00C341F9" w:rsidRDefault="00E02D62" w:rsidP="00E02D62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муниципальной целевой программы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18. Муниципальная целевая программа реализуется субъектом бюджетного планирования, который несет ответственность за решение задач, запланированных в рамках реализации муниципальной целевой программы, и за достижение утвержденных значений целевых индикаторов.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19. Финансирование расходов на реализацию муниципальных целевых программ осуществляется в порядке, установленном для исполнения бюджета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>онышевского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ходом реализации муниципальной целевой программы осуществляется соответствующим субъектом бюджетного планирования.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21. Субъект бюджетного планирования осуществляет мониторинг индикаторов оценки результативности муниципальной целевой программы в течение всего срока реализации программы.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Субъект бюджетного планирования представляет в течение месяца после утверждения муниципальной целевой программы или внесения в нее изменений в отдел  по бухгалтерскому учету бюджету и налогам Администрации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>онышевского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сведения о программе для включения в реестр муниципальных целевых программ на бумажном носителе и в электронном виде по форме согласно приложению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5 к настоящему Положению.</w:t>
      </w:r>
      <w:proofErr w:type="gramEnd"/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23. Субъекты бюджетного планирования, реализующие муниципальные целевые программы, представляют: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ежеквартально, до 8-го числа месяца, следующего за отчетным кварталом, в отдел по бухгалтерскому учету бюджету и налогам Администрации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>онышевского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справочную информацию о реализации муниципальных целевых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программ, включающую данные о финансировании программных мероприятий и освоении выделенных средств;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ежегодно, не позднее 1 марта года, следующего за </w:t>
      </w: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отчетным</w:t>
      </w:r>
      <w:proofErr w:type="gramEnd"/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, в Администрацию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>онышевского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отчет о реализации муниципальных целевых программ.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24. Отчет о реализации муниципальной целевой программы должен содержать: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сведения о результатах реализации муниципальной целевой программы за отчетный период;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сведения о соответствии достигнутых в результате реализации муниципальной целевой программы индикаторов и показателей, запланированных программой;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информацию о ходе выполнения программных мероприятий;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оценку эффективности реализации муниципальной целевой программы, произведенную в соответствии с методикой, установленной программой;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меры по повышению эффективности реализации муниципальной целевой программы.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25. Администрация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 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онышевского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рассматривает отчет о реализации муниципальной целевой программы, оценивает эффективность реализации муниципальной целевой программы и принимает решение: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продолжить реализацию муниципальной целевой программы;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внести изменения в муниципальную целевую программу;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досрочно прекратить реализацию муниципальной целевой программы;</w:t>
      </w:r>
    </w:p>
    <w:p w:rsidR="00E02D62" w:rsidRPr="00C341F9" w:rsidRDefault="00E02D62" w:rsidP="00E02D6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признать реализацию муниципальной целевой программы завершенной.</w:t>
      </w:r>
    </w:p>
    <w:p w:rsidR="00E02D62" w:rsidRPr="00C341F9" w:rsidRDefault="00E02D62" w:rsidP="00E02D62">
      <w:pPr>
        <w:pageBreakBefore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к Положению о разработке,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proofErr w:type="gramEnd"/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и реализации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муниципальных целевых программ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ПАСПОРТ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муниципальной целевой программы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Наименование субъекта бюджетного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планирования (главного распорядителя</w:t>
      </w:r>
      <w:proofErr w:type="gramEnd"/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средств бюджета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Наумовского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онышевского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Курской области)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____________________________________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Наименование программы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____________________________________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Цели и задачи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____________________________________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Целевые индикаторы и показатели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____________________________________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Перечень основных мероприятий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____________________________________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Сроки реализации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____________________________________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Объемы и источники финансирования _________________________________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Ожидаемые конечные результаты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реализации программы и показатели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эффективности реализации</w:t>
      </w:r>
    </w:p>
    <w:p w:rsidR="00E02D62" w:rsidRPr="00C341F9" w:rsidRDefault="00E02D62" w:rsidP="00E02D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____________________________________</w:t>
      </w:r>
    </w:p>
    <w:p w:rsidR="00E02D62" w:rsidRPr="00C341F9" w:rsidRDefault="00E02D62" w:rsidP="00E02D62">
      <w:pPr>
        <w:suppressAutoHyphens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  <w:sectPr w:rsidR="00E02D62" w:rsidRPr="00C341F9"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/>
        </w:sect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к Положению о разработке,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proofErr w:type="gramEnd"/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и реализации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муниципальных целевых программ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ПРОГНОЗИРУЕМЫЕ ЗНАЧЕНИЯ ЦЕЛЕВЫХ ИНДИКАТОРОВ И ПОКАЗАТЕЛЕЙ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C341F9"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F9">
        <w:rPr>
          <w:rFonts w:ascii="Times New Roman" w:hAnsi="Times New Roman" w:cs="Times New Roman"/>
          <w:sz w:val="28"/>
          <w:szCs w:val="28"/>
        </w:rPr>
        <w:t>"____________________________________"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436"/>
        <w:gridCol w:w="1559"/>
        <w:gridCol w:w="2127"/>
        <w:gridCol w:w="1842"/>
        <w:gridCol w:w="1985"/>
        <w:gridCol w:w="1843"/>
        <w:gridCol w:w="1857"/>
      </w:tblGrid>
      <w:tr w:rsidR="00E02D62" w:rsidRPr="00DC4B8D" w:rsidTr="00E02D62">
        <w:trPr>
          <w:cantSplit/>
          <w:trHeight w:hRule="exact" w:val="33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9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 индикаторов и показателей программы</w:t>
            </w:r>
          </w:p>
        </w:tc>
      </w:tr>
      <w:tr w:rsidR="00E02D62" w:rsidRPr="00C341F9" w:rsidTr="00E02D62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еализации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D62" w:rsidRPr="00C341F9" w:rsidRDefault="00E02D62" w:rsidP="00E02D6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02D62" w:rsidRPr="00C341F9">
          <w:footnotePr>
            <w:pos w:val="beneathText"/>
          </w:footnotePr>
          <w:pgSz w:w="16837" w:h="11905" w:orient="landscape"/>
          <w:pgMar w:top="850" w:right="1134" w:bottom="709" w:left="1134" w:header="720" w:footer="720" w:gutter="0"/>
          <w:cols w:space="720"/>
        </w:sectPr>
      </w:pP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к Положению о разработке,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proofErr w:type="gramEnd"/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и реализации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муниципальных целевых программ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МУНИЦИПАЛЬНОЙ ЦЕЛЕВОЙ ПРОГРАММЫ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"_________________________________________"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5"/>
        <w:gridCol w:w="1620"/>
        <w:gridCol w:w="1080"/>
        <w:gridCol w:w="810"/>
        <w:gridCol w:w="810"/>
        <w:gridCol w:w="810"/>
        <w:gridCol w:w="1770"/>
      </w:tblGrid>
      <w:tr w:rsidR="00E02D62" w:rsidRPr="00DC4B8D" w:rsidTr="00E02D62">
        <w:trPr>
          <w:cantSplit/>
          <w:trHeight w:val="33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Ожидаемый результат (в натуральном выражении - целевые значения)</w:t>
            </w:r>
          </w:p>
        </w:tc>
      </w:tr>
      <w:tr w:rsidR="00E02D62" w:rsidRPr="00C341F9" w:rsidTr="00E02D62">
        <w:trPr>
          <w:cantSplit/>
          <w:trHeight w:hRule="exact" w:val="33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2D62" w:rsidRPr="00C341F9" w:rsidTr="00E02D62">
        <w:trPr>
          <w:cantSplit/>
          <w:trHeight w:hRule="exact" w:val="1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9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D30A5" w:rsidRDefault="009D30A5" w:rsidP="009D30A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9D30A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E02D62" w:rsidRPr="00C341F9" w:rsidRDefault="00E02D62" w:rsidP="009D30A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к Положению о разработке,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proofErr w:type="gramEnd"/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и реализации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муниципальных целевых программ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РАЗРАБОТКЕ </w:t>
      </w:r>
      <w:proofErr w:type="gramStart"/>
      <w:r w:rsidRPr="00C341F9">
        <w:rPr>
          <w:rFonts w:ascii="Times New Roman" w:hAnsi="Times New Roman" w:cs="Times New Roman"/>
          <w:b/>
          <w:sz w:val="28"/>
          <w:szCs w:val="28"/>
          <w:lang w:val="ru-RU"/>
        </w:rPr>
        <w:t>МЕТОДИКИ ОЦЕНКИ ЭФФЕКТИВНОСТИ РЕАЛИЗАЦИИ МУНИЦИПАЛЬНЫХ ЦЕЛЕВЫХ ПРОГРАММ</w:t>
      </w:r>
      <w:proofErr w:type="gramEnd"/>
    </w:p>
    <w:p w:rsidR="00E02D62" w:rsidRPr="00C341F9" w:rsidRDefault="009D30A5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02D62" w:rsidRPr="00C341F9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определяют правила разработки методики оценки эффективности реализации муниципальных целевых программ, которая позволяет определить степень достижения целей и задач муниципальных целевых программ в зависимости от конечных результатов.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Методика оценки эффективности реализации муниципальной целевой программы разрабатывается субъектом бюджетного планирования с учетом специфики муниципальной целевой программы и является приложением к программе.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муниципальной целевой программы осуществляется субъектом бюджетного планирования по итогам ее исполнения за отчетный финансовый год и в целом после завершения реализации муниципальной целевой программы по следующим критериям: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а) степень достижения за отчетный период запланированных значений целевых индикаторов;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б) степень выполнения мероприятий муниципальной целевой программы;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в) уровень финансирования за отчетный период мероприятий муниципальной целевой программы от запланированных объемов.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Оценка эффективности реализации муниципальной целевой программы производится путем сравнения фактически достигнутых в результате реализации муниципальной целевой программы индикаторов и показателей с </w:t>
      </w: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запланированными</w:t>
      </w:r>
      <w:proofErr w:type="gramEnd"/>
      <w:r w:rsidRPr="00C341F9">
        <w:rPr>
          <w:rFonts w:ascii="Times New Roman" w:hAnsi="Times New Roman" w:cs="Times New Roman"/>
          <w:sz w:val="28"/>
          <w:szCs w:val="28"/>
          <w:lang w:val="ru-RU"/>
        </w:rPr>
        <w:t>; фактического выполнения мероприятий муниципальной целевой программы с запланированными программой; сравнения фактического объема финансирования мероприятий муниципальной целевой программы с запланированным.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На основе проведенной оценки эффективности реализации муниципальной целевой программы могут быть сделаны следующие выводы: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эффективность реализации муниципальной целевой программы снизилась;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эффективность реализации муниципальной целевой программы находится на прежнем уровне;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эффективность реализации муниципальной целевой программы повысилась.</w:t>
      </w:r>
    </w:p>
    <w:p w:rsidR="009D30A5" w:rsidRPr="00C341F9" w:rsidRDefault="00E02D62" w:rsidP="009D30A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об оценке эффективности реализации муниципальной целевой программы за отчетный финансовый год и в целом за весь период реализации программы представляется субъектом бюджетного планирования Главе </w:t>
      </w:r>
      <w:r w:rsidR="00DE2EBA">
        <w:rPr>
          <w:rFonts w:ascii="Times New Roman" w:hAnsi="Times New Roman" w:cs="Times New Roman"/>
          <w:sz w:val="28"/>
          <w:szCs w:val="28"/>
          <w:lang w:val="ru-RU"/>
        </w:rPr>
        <w:t>Наумовского</w:t>
      </w:r>
      <w:r w:rsidR="009D3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ежегодно в </w:t>
      </w:r>
      <w:r w:rsidR="009D3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0A5"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срок до 1 марта с приложением данных по </w:t>
      </w:r>
      <w:hyperlink r:id="rId7" w:history="1">
        <w:r w:rsidR="009D30A5" w:rsidRPr="00C341F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таблицам </w:t>
        </w:r>
        <w:r w:rsidR="009D30A5" w:rsidRPr="00C341F9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9D30A5" w:rsidRPr="00C341F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1</w:t>
        </w:r>
      </w:hyperlink>
      <w:r w:rsidR="009D30A5"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="009D30A5" w:rsidRPr="00C341F9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9D30A5" w:rsidRPr="00C341F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2</w:t>
        </w:r>
      </w:hyperlink>
      <w:r w:rsidR="009D30A5"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9" w:history="1">
        <w:r w:rsidR="009D30A5" w:rsidRPr="00C341F9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9D30A5" w:rsidRPr="00C341F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3</w:t>
        </w:r>
      </w:hyperlink>
      <w:r w:rsidR="009D30A5" w:rsidRPr="00C341F9">
        <w:rPr>
          <w:rFonts w:ascii="Times New Roman" w:hAnsi="Times New Roman" w:cs="Times New Roman"/>
          <w:sz w:val="28"/>
          <w:szCs w:val="28"/>
          <w:lang w:val="ru-RU"/>
        </w:rPr>
        <w:t>, прилагаемым к настоящим методическим рекомендациям.</w:t>
      </w:r>
    </w:p>
    <w:p w:rsidR="009D30A5" w:rsidRDefault="009D30A5" w:rsidP="009D30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D30A5" w:rsidSect="009D30A5">
          <w:footnotePr>
            <w:pos w:val="beneathText"/>
          </w:footnotePr>
          <w:pgSz w:w="11905" w:h="16837" w:code="9"/>
          <w:pgMar w:top="851" w:right="567" w:bottom="624" w:left="1474" w:header="720" w:footer="720" w:gutter="0"/>
          <w:cols w:space="720"/>
        </w:sectPr>
      </w:pPr>
    </w:p>
    <w:p w:rsidR="00E02D62" w:rsidRPr="00C341F9" w:rsidRDefault="00E02D62" w:rsidP="009D30A5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муниципальной целевой программы за ______ год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890"/>
        <w:gridCol w:w="1080"/>
        <w:gridCol w:w="1485"/>
        <w:gridCol w:w="1485"/>
        <w:gridCol w:w="1485"/>
        <w:gridCol w:w="1905"/>
      </w:tblGrid>
      <w:tr w:rsidR="00E02D62" w:rsidRPr="00DC4B8D" w:rsidTr="00E02D62">
        <w:trPr>
          <w:cantSplit/>
          <w:trHeight w:hRule="exact" w:val="33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индикаторов и показателей программы</w:t>
            </w:r>
          </w:p>
        </w:tc>
      </w:tr>
      <w:tr w:rsidR="00E02D62" w:rsidRPr="00C341F9" w:rsidTr="00E02D62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достигнуто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Отклонение от утвержденного значения</w:t>
            </w:r>
            <w:proofErr w:type="gramStart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(+, -, %)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Причины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недостижения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запланированных значений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D62" w:rsidRPr="00C341F9" w:rsidRDefault="00E02D62" w:rsidP="00E02D62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  <w:sectPr w:rsidR="00E02D62" w:rsidRPr="00C341F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41F9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proofErr w:type="spellEnd"/>
      <w:r w:rsidRPr="00C341F9">
        <w:rPr>
          <w:rFonts w:ascii="Times New Roman" w:hAnsi="Times New Roman" w:cs="Times New Roman"/>
          <w:sz w:val="28"/>
          <w:szCs w:val="28"/>
        </w:rPr>
        <w:t xml:space="preserve"> N 2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муниципальной целевой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41F9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proofErr w:type="gramEnd"/>
      <w:r w:rsidRPr="00C34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34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весь</w:t>
      </w:r>
      <w:proofErr w:type="spellEnd"/>
      <w:r w:rsidRPr="00C34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C34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025"/>
        <w:gridCol w:w="1080"/>
        <w:gridCol w:w="1607"/>
        <w:gridCol w:w="850"/>
        <w:gridCol w:w="810"/>
        <w:gridCol w:w="750"/>
        <w:gridCol w:w="810"/>
        <w:gridCol w:w="749"/>
        <w:gridCol w:w="810"/>
        <w:gridCol w:w="675"/>
        <w:gridCol w:w="675"/>
        <w:gridCol w:w="1667"/>
        <w:gridCol w:w="2000"/>
      </w:tblGrid>
      <w:tr w:rsidR="00E02D62" w:rsidRPr="00DC4B8D" w:rsidTr="00E02D62">
        <w:trPr>
          <w:cantSplit/>
          <w:trHeight w:hRule="exact" w:val="33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4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 индикаторов и показателей программы</w:t>
            </w:r>
          </w:p>
        </w:tc>
      </w:tr>
      <w:tr w:rsidR="00E02D62" w:rsidRPr="00C341F9" w:rsidTr="00E02D62">
        <w:trPr>
          <w:cantSplit/>
          <w:trHeight w:hRule="exact" w:val="9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</w:tr>
      <w:tr w:rsidR="00E02D62" w:rsidRPr="00C341F9" w:rsidTr="00E02D62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(+, -, %)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Причины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недостижения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запланированных значений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D62" w:rsidRPr="00C341F9" w:rsidRDefault="00E02D62" w:rsidP="00E02D62">
      <w:pPr>
        <w:pageBreakBefore/>
        <w:rPr>
          <w:rFonts w:ascii="Times New Roman" w:hAnsi="Times New Roman" w:cs="Times New Roman"/>
          <w:sz w:val="28"/>
          <w:szCs w:val="28"/>
        </w:r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Ход выполнения муниципальной целевой программы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за отчетный год (за весь период реализации)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2079"/>
        <w:gridCol w:w="2598"/>
        <w:gridCol w:w="1985"/>
        <w:gridCol w:w="1559"/>
        <w:gridCol w:w="1925"/>
      </w:tblGrid>
      <w:tr w:rsidR="00E02D62" w:rsidRPr="00DC4B8D" w:rsidTr="00E02D62">
        <w:trPr>
          <w:cantSplit/>
          <w:trHeight w:hRule="exact" w:val="65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2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муниципальной целевой программы </w:t>
            </w:r>
          </w:p>
          <w:p w:rsidR="00E02D62" w:rsidRPr="00C341F9" w:rsidRDefault="00E02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январь - _______________ года, тыс. рублей</w:t>
            </w:r>
          </w:p>
        </w:tc>
      </w:tr>
      <w:tr w:rsidR="00E02D62" w:rsidRPr="00DC4B8D" w:rsidTr="00E02D62">
        <w:trPr>
          <w:cantSplit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Профинансировано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% к общему объему, предусмотренному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% к общему объему, предусмотренному программой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капитальные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Примечание: выполнение муниципальной целевой программы анализируется за отчетный финансовый год и в целом за период реализации программы.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suppressAutoHyphens w:val="0"/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E02D62" w:rsidRPr="00C341F9"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</w:sectPr>
      </w:pP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Pr="00C341F9">
        <w:rPr>
          <w:rFonts w:ascii="Times New Roman" w:hAnsi="Times New Roman" w:cs="Times New Roman"/>
          <w:sz w:val="28"/>
          <w:szCs w:val="28"/>
        </w:rPr>
        <w:t>N</w:t>
      </w:r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к Положению о разработке,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41F9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proofErr w:type="gramEnd"/>
      <w:r w:rsidRPr="00C341F9">
        <w:rPr>
          <w:rFonts w:ascii="Times New Roman" w:hAnsi="Times New Roman" w:cs="Times New Roman"/>
          <w:sz w:val="28"/>
          <w:szCs w:val="28"/>
          <w:lang w:val="ru-RU"/>
        </w:rPr>
        <w:t xml:space="preserve"> и реализации</w:t>
      </w:r>
    </w:p>
    <w:p w:rsidR="00E02D62" w:rsidRPr="00C341F9" w:rsidRDefault="00E02D62" w:rsidP="00E02D62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муниципальных целевых программ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Сведения о муниципальной целевой программе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"_________________________________________"</w:t>
      </w:r>
    </w:p>
    <w:p w:rsidR="00E02D62" w:rsidRPr="00C341F9" w:rsidRDefault="00E02D62" w:rsidP="00E02D6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41F9">
        <w:rPr>
          <w:rFonts w:ascii="Times New Roman" w:hAnsi="Times New Roman" w:cs="Times New Roman"/>
          <w:sz w:val="28"/>
          <w:szCs w:val="28"/>
          <w:lang w:val="ru-RU"/>
        </w:rPr>
        <w:t>для включения в реестр муниципальных целевых программ</w:t>
      </w:r>
    </w:p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0"/>
        <w:gridCol w:w="4875"/>
      </w:tblGrid>
      <w:tr w:rsidR="00E02D62" w:rsidRPr="00C341F9" w:rsidTr="00E02D62">
        <w:trPr>
          <w:cantSplit/>
          <w:trHeight w:val="3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муниципальной</w:t>
            </w: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3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муниипальной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DC4B8D" w:rsidTr="00E02D62">
        <w:trPr>
          <w:cantSplit/>
          <w:trHeight w:val="3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 бюджетного планирования, реализующий программу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2D62" w:rsidRPr="00DC4B8D" w:rsidTr="00E02D62">
        <w:trPr>
          <w:cantSplit/>
          <w:trHeight w:val="3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и этапы реализации муниципальной целевой программы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2D62" w:rsidRPr="00DC4B8D" w:rsidTr="00E02D62">
        <w:trPr>
          <w:cantSplit/>
          <w:trHeight w:val="2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и основные задачи программы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2D62" w:rsidRPr="00DC4B8D" w:rsidTr="00E02D62">
        <w:trPr>
          <w:cantSplit/>
          <w:trHeight w:val="3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целевые индикаторы и показатели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2D62" w:rsidRPr="00DC4B8D" w:rsidTr="00E02D62">
        <w:trPr>
          <w:cantSplit/>
          <w:trHeight w:val="4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Ожидаемые конечные результаты и показатели эффективности реализации муниципальной целевой программы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2D62" w:rsidRPr="00DC4B8D" w:rsidTr="00E02D62">
        <w:trPr>
          <w:cantSplit/>
          <w:trHeight w:val="60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объем финансирования, предусмотренный программой, в том числе по годам реализации, тыс. рублей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по источникам финансирования:</w:t>
            </w:r>
          </w:p>
        </w:tc>
      </w:tr>
      <w:tr w:rsidR="00E02D62" w:rsidRPr="00C341F9" w:rsidTr="00E02D62">
        <w:trPr>
          <w:cantSplit/>
          <w:trHeight w:val="2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62" w:rsidRPr="00C341F9" w:rsidTr="00E02D62">
        <w:trPr>
          <w:cantSplit/>
          <w:trHeight w:val="2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1F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62" w:rsidRPr="00C341F9" w:rsidRDefault="00E02D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D62" w:rsidRPr="00C341F9" w:rsidRDefault="00E02D62" w:rsidP="00E02D6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7A2" w:rsidRPr="00C341F9" w:rsidRDefault="003E27A2">
      <w:pPr>
        <w:rPr>
          <w:rFonts w:ascii="Times New Roman" w:hAnsi="Times New Roman" w:cs="Times New Roman"/>
          <w:sz w:val="28"/>
          <w:szCs w:val="28"/>
        </w:rPr>
      </w:pPr>
    </w:p>
    <w:sectPr w:rsidR="003E27A2" w:rsidRPr="00C3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DA"/>
    <w:rsid w:val="00081C60"/>
    <w:rsid w:val="003E27A2"/>
    <w:rsid w:val="009D30A5"/>
    <w:rsid w:val="00C341F9"/>
    <w:rsid w:val="00C40FDA"/>
    <w:rsid w:val="00DC4B8D"/>
    <w:rsid w:val="00DE2EBA"/>
    <w:rsid w:val="00E02D62"/>
    <w:rsid w:val="00F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62"/>
    <w:pPr>
      <w:suppressAutoHyphens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2D62"/>
    <w:rPr>
      <w:color w:val="000080"/>
      <w:u w:val="single"/>
    </w:rPr>
  </w:style>
  <w:style w:type="paragraph" w:customStyle="1" w:styleId="ConsPlusNonformat">
    <w:name w:val="ConsPlusNonformat"/>
    <w:rsid w:val="00E02D6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val="en-US" w:bidi="en-US"/>
    </w:rPr>
  </w:style>
  <w:style w:type="paragraph" w:customStyle="1" w:styleId="ConsPlusTitle">
    <w:name w:val="ConsPlusTitle"/>
    <w:rsid w:val="00E02D6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sz w:val="28"/>
      <w:szCs w:val="28"/>
      <w:lang w:val="en-US" w:bidi="en-US"/>
    </w:rPr>
  </w:style>
  <w:style w:type="paragraph" w:customStyle="1" w:styleId="ConsPlusCell">
    <w:name w:val="ConsPlusCell"/>
    <w:rsid w:val="00E02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0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D62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rsid w:val="00C34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62"/>
    <w:pPr>
      <w:suppressAutoHyphens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2D62"/>
    <w:rPr>
      <w:color w:val="000080"/>
      <w:u w:val="single"/>
    </w:rPr>
  </w:style>
  <w:style w:type="paragraph" w:customStyle="1" w:styleId="ConsPlusNonformat">
    <w:name w:val="ConsPlusNonformat"/>
    <w:rsid w:val="00E02D6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val="en-US" w:bidi="en-US"/>
    </w:rPr>
  </w:style>
  <w:style w:type="paragraph" w:customStyle="1" w:styleId="ConsPlusTitle">
    <w:name w:val="ConsPlusTitle"/>
    <w:rsid w:val="00E02D6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sz w:val="28"/>
      <w:szCs w:val="28"/>
      <w:lang w:val="en-US" w:bidi="en-US"/>
    </w:rPr>
  </w:style>
  <w:style w:type="paragraph" w:customStyle="1" w:styleId="ConsPlusCell">
    <w:name w:val="ConsPlusCell"/>
    <w:rsid w:val="00E02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0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D62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rsid w:val="00C34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5660;fld=134;dst=1001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17;n=25660;fld=134;dst=1001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5660;fld=134;dst=10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D51C-110D-4642-9B0D-CE088DAB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2013-12-12T07:21:00Z</cp:lastPrinted>
  <dcterms:created xsi:type="dcterms:W3CDTF">2013-11-07T11:15:00Z</dcterms:created>
  <dcterms:modified xsi:type="dcterms:W3CDTF">2013-12-12T07:22:00Z</dcterms:modified>
</cp:coreProperties>
</file>